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7"/>
        <w:gridCol w:w="6909"/>
      </w:tblGrid>
      <w:tr>
        <w:trPr>
          <w:trHeight w:val="2730" w:hRule="atLeast"/>
        </w:trPr>
        <w:tc>
          <w:tcPr>
            <w:tcW w:w="244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46560" cy="749807"/>
                  <wp:effectExtent l="0" t="0" r="0" b="0"/>
                  <wp:docPr id="5" name="Image 5" descr="þÿ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 descr="þÿ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60" cy="74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909" w:type="dxa"/>
            <w:tcBorders>
              <w:left w:val="nil"/>
            </w:tcBorders>
          </w:tcPr>
          <w:p>
            <w:pPr>
              <w:pStyle w:val="TableParagraph"/>
              <w:spacing w:before="17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"/>
              <w:jc w:val="center"/>
              <w:rPr>
                <w:b/>
                <w:sz w:val="26"/>
              </w:rPr>
            </w:pPr>
            <w:r>
              <w:rPr>
                <w:b/>
                <w:smallCaps/>
                <w:spacing w:val="-2"/>
                <w:sz w:val="26"/>
              </w:rPr>
              <w:t>Règlement</w:t>
            </w:r>
            <w:r>
              <w:rPr>
                <w:b/>
                <w:smallCaps/>
                <w:spacing w:val="6"/>
                <w:sz w:val="26"/>
              </w:rPr>
              <w:t> </w:t>
            </w:r>
            <w:r>
              <w:rPr>
                <w:b/>
                <w:smallCaps/>
                <w:spacing w:val="-2"/>
                <w:sz w:val="26"/>
              </w:rPr>
              <w:t>185-</w:t>
            </w:r>
            <w:r>
              <w:rPr>
                <w:b/>
                <w:smallCaps/>
                <w:spacing w:val="-5"/>
                <w:sz w:val="26"/>
              </w:rPr>
              <w:t>16</w:t>
            </w:r>
          </w:p>
          <w:p>
            <w:pPr>
              <w:pStyle w:val="TableParagraph"/>
              <w:spacing w:before="121"/>
              <w:ind w:left="80" w:right="92" w:hanging="3"/>
              <w:jc w:val="center"/>
              <w:rPr>
                <w:b/>
                <w:sz w:val="26"/>
              </w:rPr>
            </w:pPr>
            <w:r>
              <w:rPr>
                <w:b/>
                <w:smallCaps/>
                <w:sz w:val="26"/>
              </w:rPr>
              <w:t>règlement d’emprunt relatif aux honoraires d’experts-conseils</w:t>
            </w:r>
            <w:r>
              <w:rPr>
                <w:b/>
                <w:smallCaps/>
                <w:spacing w:val="-8"/>
                <w:sz w:val="26"/>
              </w:rPr>
              <w:t> </w:t>
            </w:r>
            <w:r>
              <w:rPr>
                <w:b/>
                <w:smallCaps/>
                <w:sz w:val="26"/>
              </w:rPr>
              <w:t>et</w:t>
            </w:r>
            <w:r>
              <w:rPr>
                <w:b/>
                <w:smallCaps/>
                <w:spacing w:val="-6"/>
                <w:sz w:val="26"/>
              </w:rPr>
              <w:t> </w:t>
            </w:r>
            <w:r>
              <w:rPr>
                <w:b/>
                <w:smallCaps/>
                <w:sz w:val="26"/>
              </w:rPr>
              <w:t>aux</w:t>
            </w:r>
            <w:r>
              <w:rPr>
                <w:b/>
                <w:smallCaps/>
                <w:spacing w:val="-5"/>
                <w:sz w:val="26"/>
              </w:rPr>
              <w:t> </w:t>
            </w:r>
            <w:r>
              <w:rPr>
                <w:b/>
                <w:smallCaps/>
                <w:sz w:val="26"/>
              </w:rPr>
              <w:t>travaux</w:t>
            </w:r>
            <w:r>
              <w:rPr>
                <w:b/>
                <w:smallCaps/>
                <w:spacing w:val="-5"/>
                <w:sz w:val="26"/>
              </w:rPr>
              <w:t> </w:t>
            </w:r>
            <w:r>
              <w:rPr>
                <w:b/>
                <w:smallCaps/>
                <w:sz w:val="26"/>
              </w:rPr>
              <w:t>de</w:t>
            </w:r>
            <w:r>
              <w:rPr>
                <w:b/>
                <w:smallCaps/>
                <w:spacing w:val="-5"/>
                <w:sz w:val="26"/>
              </w:rPr>
              <w:t> </w:t>
            </w:r>
            <w:r>
              <w:rPr>
                <w:b/>
                <w:smallCaps/>
                <w:sz w:val="26"/>
              </w:rPr>
              <w:t>construction</w:t>
            </w:r>
            <w:r>
              <w:rPr>
                <w:b/>
                <w:smallCaps/>
                <w:spacing w:val="-7"/>
                <w:sz w:val="26"/>
              </w:rPr>
              <w:t> </w:t>
            </w:r>
            <w:r>
              <w:rPr>
                <w:b/>
                <w:smallCaps/>
                <w:sz w:val="26"/>
              </w:rPr>
              <w:t>de la phase 1 de la piste cyclable localisée à Beauceville et à Saint-Joseph-de-Beauce sur le</w:t>
            </w:r>
            <w:r>
              <w:rPr>
                <w:b/>
                <w:smallCaps/>
                <w:spacing w:val="40"/>
                <w:sz w:val="26"/>
              </w:rPr>
              <w:t> </w:t>
            </w:r>
            <w:r>
              <w:rPr>
                <w:b/>
                <w:smallCaps/>
                <w:sz w:val="26"/>
              </w:rPr>
              <w:t>tracé de l’emprise ferroviaire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BodyText"/>
        <w:ind w:left="2260" w:right="131" w:hanging="2124"/>
        <w:jc w:val="both"/>
      </w:pPr>
      <w:r>
        <w:rPr/>
        <w:t>ATTENDU</w:t>
      </w:r>
      <w:r>
        <w:rPr>
          <w:spacing w:val="-1"/>
        </w:rPr>
        <w:t> </w:t>
      </w:r>
      <w:r>
        <w:rPr/>
        <w:t>QUE</w:t>
      </w:r>
      <w:r>
        <w:rPr>
          <w:spacing w:val="40"/>
        </w:rPr>
        <w:t>  </w:t>
      </w:r>
      <w:r>
        <w:rPr/>
        <w:t>que la Municipalité régionale de comté Robert-Cliche a déclaré sa</w:t>
      </w:r>
      <w:r>
        <w:rPr>
          <w:spacing w:val="40"/>
        </w:rPr>
        <w:t> </w:t>
      </w:r>
      <w:r>
        <w:rPr/>
        <w:t>compétence</w:t>
      </w:r>
      <w:r>
        <w:rPr>
          <w:spacing w:val="49"/>
          <w:w w:val="150"/>
        </w:rPr>
        <w:t> </w:t>
      </w:r>
      <w:r>
        <w:rPr/>
        <w:t>en</w:t>
      </w:r>
      <w:r>
        <w:rPr>
          <w:spacing w:val="50"/>
          <w:w w:val="150"/>
        </w:rPr>
        <w:t> </w:t>
      </w:r>
      <w:r>
        <w:rPr/>
        <w:t>vertu</w:t>
      </w:r>
      <w:r>
        <w:rPr>
          <w:spacing w:val="53"/>
          <w:w w:val="150"/>
        </w:rPr>
        <w:t> </w:t>
      </w:r>
      <w:r>
        <w:rPr/>
        <w:t>des</w:t>
      </w:r>
      <w:r>
        <w:rPr>
          <w:spacing w:val="50"/>
          <w:w w:val="150"/>
        </w:rPr>
        <w:t> </w:t>
      </w:r>
      <w:r>
        <w:rPr/>
        <w:t>dispositions</w:t>
      </w:r>
      <w:r>
        <w:rPr>
          <w:spacing w:val="51"/>
          <w:w w:val="150"/>
        </w:rPr>
        <w:t> </w:t>
      </w:r>
      <w:r>
        <w:rPr/>
        <w:t>des</w:t>
      </w:r>
      <w:r>
        <w:rPr>
          <w:spacing w:val="51"/>
          <w:w w:val="150"/>
        </w:rPr>
        <w:t> </w:t>
      </w:r>
      <w:r>
        <w:rPr/>
        <w:t>articles 10</w:t>
      </w:r>
      <w:r>
        <w:rPr>
          <w:spacing w:val="50"/>
          <w:w w:val="150"/>
        </w:rPr>
        <w:t> </w:t>
      </w:r>
      <w:r>
        <w:rPr/>
        <w:t>et</w:t>
      </w:r>
      <w:r>
        <w:rPr>
          <w:spacing w:val="52"/>
          <w:w w:val="150"/>
        </w:rPr>
        <w:t> </w:t>
      </w:r>
      <w:r>
        <w:rPr/>
        <w:t>suivants</w:t>
      </w:r>
      <w:r>
        <w:rPr>
          <w:spacing w:val="50"/>
          <w:w w:val="150"/>
        </w:rPr>
        <w:t> </w:t>
      </w:r>
      <w:r>
        <w:rPr>
          <w:spacing w:val="-5"/>
        </w:rPr>
        <w:t>et</w:t>
      </w:r>
    </w:p>
    <w:p>
      <w:pPr>
        <w:pStyle w:val="BodyText"/>
        <w:ind w:left="2260" w:right="132"/>
        <w:jc w:val="both"/>
      </w:pPr>
      <w:r>
        <w:rPr/>
        <w:t>678.0.1 et suivants du Code municipal du Québec à l’égard de la construction, de l’entretien et de la gestion de la piste cyclable à venir</w:t>
      </w:r>
      <w:r>
        <w:rPr>
          <w:spacing w:val="40"/>
        </w:rPr>
        <w:t> </w:t>
      </w:r>
      <w:r>
        <w:rPr/>
        <w:t>entre les limites Nord et Sud de la MRC sur le territoire des municipalités de Saint-Joseph-de-Beauce et de Beauceville;</w:t>
      </w:r>
    </w:p>
    <w:p>
      <w:pPr>
        <w:pStyle w:val="BodyText"/>
        <w:spacing w:before="251"/>
        <w:ind w:left="2260" w:right="132" w:hanging="2124"/>
        <w:jc w:val="both"/>
      </w:pPr>
      <w:r>
        <w:rPr/>
        <w:t>ATTENDU</w:t>
      </w:r>
      <w:r>
        <w:rPr>
          <w:spacing w:val="-1"/>
        </w:rPr>
        <w:t> </w:t>
      </w:r>
      <w:r>
        <w:rPr/>
        <w:t>QUE</w:t>
      </w:r>
      <w:r>
        <w:rPr>
          <w:spacing w:val="80"/>
        </w:rPr>
        <w:t>   </w:t>
      </w:r>
      <w:r>
        <w:rPr/>
        <w:t>la</w:t>
      </w:r>
      <w:r>
        <w:rPr>
          <w:spacing w:val="40"/>
        </w:rPr>
        <w:t> </w:t>
      </w:r>
      <w:r>
        <w:rPr/>
        <w:t>Municipalité</w:t>
      </w:r>
      <w:r>
        <w:rPr>
          <w:spacing w:val="39"/>
        </w:rPr>
        <w:t> </w:t>
      </w:r>
      <w:r>
        <w:rPr/>
        <w:t>régionale</w:t>
      </w:r>
      <w:r>
        <w:rPr>
          <w:spacing w:val="37"/>
        </w:rPr>
        <w:t> </w:t>
      </w:r>
      <w:r>
        <w:rPr/>
        <w:t>de</w:t>
      </w:r>
      <w:r>
        <w:rPr>
          <w:spacing w:val="39"/>
        </w:rPr>
        <w:t> </w:t>
      </w:r>
      <w:r>
        <w:rPr/>
        <w:t>comté</w:t>
      </w:r>
      <w:r>
        <w:rPr>
          <w:spacing w:val="39"/>
        </w:rPr>
        <w:t> </w:t>
      </w:r>
      <w:r>
        <w:rPr/>
        <w:t>Robert-Cliche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adopté</w:t>
      </w:r>
      <w:r>
        <w:rPr>
          <w:spacing w:val="39"/>
        </w:rPr>
        <w:t> </w:t>
      </w:r>
      <w:r>
        <w:rPr/>
        <w:t>le</w:t>
      </w:r>
      <w:r>
        <w:rPr>
          <w:spacing w:val="37"/>
        </w:rPr>
        <w:t> </w:t>
      </w:r>
      <w:r>
        <w:rPr/>
        <w:t>règlement 149-12 établissant les modalités et les conditions administratives et financières relatives à l’exercice de la compétence de la MRC à l’égard de la</w:t>
      </w:r>
      <w:r>
        <w:rPr>
          <w:spacing w:val="-2"/>
        </w:rPr>
        <w:t> </w:t>
      </w:r>
      <w:r>
        <w:rPr/>
        <w:t>construction, de</w:t>
      </w:r>
      <w:r>
        <w:rPr>
          <w:spacing w:val="-2"/>
        </w:rPr>
        <w:t> </w:t>
      </w:r>
      <w:r>
        <w:rPr/>
        <w:t>l’entretien</w:t>
      </w:r>
      <w:r>
        <w:rPr>
          <w:spacing w:val="-2"/>
        </w:rPr>
        <w:t> </w:t>
      </w:r>
      <w:r>
        <w:rPr/>
        <w:t>et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piste</w:t>
      </w:r>
      <w:r>
        <w:rPr>
          <w:spacing w:val="-2"/>
        </w:rPr>
        <w:t> </w:t>
      </w:r>
      <w:r>
        <w:rPr/>
        <w:t>cyclable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venir entre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limites Nord et Sud de la MRC sur les territoires des municipalités de Saint-Joseph-de-Beauce et de Beauceville;</w:t>
      </w:r>
    </w:p>
    <w:p>
      <w:pPr>
        <w:pStyle w:val="BodyText"/>
      </w:pPr>
    </w:p>
    <w:p>
      <w:pPr>
        <w:pStyle w:val="BodyText"/>
        <w:spacing w:after="9"/>
        <w:ind w:left="2260" w:right="130" w:hanging="2125"/>
        <w:jc w:val="both"/>
      </w:pPr>
      <w:r>
        <w:rPr/>
        <w:t>ATTENDU</w:t>
      </w:r>
      <w:r>
        <w:rPr>
          <w:spacing w:val="-1"/>
        </w:rPr>
        <w:t> </w:t>
      </w:r>
      <w:r>
        <w:rPr/>
        <w:t>QUE</w:t>
      </w:r>
      <w:r>
        <w:rPr>
          <w:spacing w:val="80"/>
        </w:rPr>
        <w:t>   </w:t>
      </w:r>
      <w:r>
        <w:rPr/>
        <w:t>la</w:t>
      </w:r>
      <w:r>
        <w:rPr>
          <w:spacing w:val="40"/>
        </w:rPr>
        <w:t> </w:t>
      </w:r>
      <w:r>
        <w:rPr/>
        <w:t>Municipalité</w:t>
      </w:r>
      <w:r>
        <w:rPr>
          <w:spacing w:val="40"/>
        </w:rPr>
        <w:t> </w:t>
      </w:r>
      <w:r>
        <w:rPr/>
        <w:t>régionale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comté</w:t>
      </w:r>
      <w:r>
        <w:rPr>
          <w:spacing w:val="40"/>
        </w:rPr>
        <w:t> </w:t>
      </w:r>
      <w:r>
        <w:rPr/>
        <w:t>Robert-Cliche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obtenu</w:t>
      </w:r>
      <w:r>
        <w:rPr>
          <w:spacing w:val="40"/>
        </w:rPr>
        <w:t> </w:t>
      </w:r>
      <w:r>
        <w:rPr/>
        <w:t>des</w:t>
      </w:r>
      <w:r>
        <w:rPr>
          <w:spacing w:val="40"/>
        </w:rPr>
        <w:t> </w:t>
      </w:r>
      <w:r>
        <w:rPr/>
        <w:t>estimés pour les frais de préparation des plans et devis, de construction et de surveillance de chantier pour la phase</w:t>
      </w:r>
      <w:r>
        <w:rPr>
          <w:spacing w:val="-1"/>
        </w:rPr>
        <w:t> </w:t>
      </w:r>
      <w:r>
        <w:rPr/>
        <w:t>1 du projet de construction comme suit :</w:t>
      </w:r>
    </w:p>
    <w:tbl>
      <w:tblPr>
        <w:tblW w:w="0" w:type="auto"/>
        <w:jc w:val="left"/>
        <w:tblInd w:w="2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1396"/>
      </w:tblGrid>
      <w:tr>
        <w:trPr>
          <w:trHeight w:val="249" w:hRule="atLeast"/>
        </w:trPr>
        <w:tc>
          <w:tcPr>
            <w:tcW w:w="2837" w:type="dxa"/>
          </w:tcPr>
          <w:p>
            <w:pPr>
              <w:pStyle w:val="TableParagraph"/>
              <w:spacing w:line="229" w:lineRule="exact"/>
              <w:ind w:left="5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devis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1396" w:type="dxa"/>
          </w:tcPr>
          <w:p>
            <w:pPr>
              <w:pStyle w:val="TableParagraph"/>
              <w:spacing w:line="229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264 </w:t>
            </w:r>
            <w:r>
              <w:rPr>
                <w:spacing w:val="-10"/>
                <w:sz w:val="22"/>
              </w:rPr>
              <w:t>$</w:t>
            </w:r>
          </w:p>
        </w:tc>
      </w:tr>
      <w:tr>
        <w:trPr>
          <w:trHeight w:val="253" w:hRule="atLeast"/>
        </w:trPr>
        <w:tc>
          <w:tcPr>
            <w:tcW w:w="2837" w:type="dxa"/>
          </w:tcPr>
          <w:p>
            <w:pPr>
              <w:pStyle w:val="TableParagraph"/>
              <w:spacing w:line="233" w:lineRule="exact"/>
              <w:ind w:left="5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Travaux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construction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1396" w:type="dxa"/>
          </w:tcPr>
          <w:p>
            <w:pPr>
              <w:pStyle w:val="TableParagraph"/>
              <w:spacing w:line="233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013 118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$</w:t>
            </w:r>
          </w:p>
        </w:tc>
      </w:tr>
      <w:tr>
        <w:trPr>
          <w:trHeight w:val="253" w:hRule="atLeast"/>
        </w:trPr>
        <w:tc>
          <w:tcPr>
            <w:tcW w:w="2837" w:type="dxa"/>
          </w:tcPr>
          <w:p>
            <w:pPr>
              <w:pStyle w:val="TableParagraph"/>
              <w:spacing w:line="233" w:lineRule="exact"/>
              <w:ind w:left="5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Surveillance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chantier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1396" w:type="dxa"/>
          </w:tcPr>
          <w:p>
            <w:pPr>
              <w:pStyle w:val="TableParagraph"/>
              <w:spacing w:line="233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217 </w:t>
            </w:r>
            <w:r>
              <w:rPr>
                <w:spacing w:val="-10"/>
                <w:sz w:val="22"/>
              </w:rPr>
              <w:t>$</w:t>
            </w:r>
          </w:p>
        </w:tc>
      </w:tr>
      <w:tr>
        <w:trPr>
          <w:trHeight w:val="249" w:hRule="atLeast"/>
        </w:trPr>
        <w:tc>
          <w:tcPr>
            <w:tcW w:w="2837" w:type="dxa"/>
          </w:tcPr>
          <w:p>
            <w:pPr>
              <w:pStyle w:val="TableParagraph"/>
              <w:spacing w:line="229" w:lineRule="exact"/>
              <w:ind w:left="5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Contingences</w:t>
            </w:r>
          </w:p>
        </w:tc>
        <w:tc>
          <w:tcPr>
            <w:tcW w:w="1396" w:type="dxa"/>
          </w:tcPr>
          <w:p>
            <w:pPr>
              <w:pStyle w:val="TableParagraph"/>
              <w:spacing w:line="229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$</w:t>
            </w:r>
          </w:p>
        </w:tc>
      </w:tr>
    </w:tbl>
    <w:p>
      <w:pPr>
        <w:pStyle w:val="BodyText"/>
        <w:spacing w:before="1"/>
      </w:pPr>
    </w:p>
    <w:p>
      <w:pPr>
        <w:pStyle w:val="BodyText"/>
        <w:ind w:left="2260" w:right="135" w:hanging="2124"/>
        <w:jc w:val="both"/>
      </w:pPr>
      <w:r>
        <w:rPr/>
        <w:t>ATTENDU</w:t>
      </w:r>
      <w:r>
        <w:rPr>
          <w:spacing w:val="-1"/>
        </w:rPr>
        <w:t> </w:t>
      </w:r>
      <w:r>
        <w:rPr/>
        <w:t>QUE</w:t>
      </w:r>
      <w:r>
        <w:rPr>
          <w:spacing w:val="80"/>
          <w:w w:val="150"/>
        </w:rPr>
        <w:t>  </w:t>
      </w:r>
      <w:r>
        <w:rPr/>
        <w:t>la Municipalité régionale</w:t>
      </w:r>
      <w:r>
        <w:rPr>
          <w:spacing w:val="-1"/>
        </w:rPr>
        <w:t> </w:t>
      </w:r>
      <w:r>
        <w:rPr/>
        <w:t>de comté Robert-Cliche doit procéder à</w:t>
      </w:r>
      <w:r>
        <w:rPr>
          <w:spacing w:val="-1"/>
        </w:rPr>
        <w:t> </w:t>
      </w:r>
      <w:r>
        <w:rPr/>
        <w:t>l’adoption d’un règlement d’emprunt pour couvrir ces frais :</w:t>
      </w:r>
    </w:p>
    <w:p>
      <w:pPr>
        <w:pStyle w:val="BodyText"/>
        <w:tabs>
          <w:tab w:pos="2260" w:val="left" w:leader="none"/>
        </w:tabs>
        <w:spacing w:before="252"/>
        <w:ind w:left="136"/>
        <w:jc w:val="both"/>
      </w:pPr>
      <w:r>
        <w:rPr/>
        <w:t>ATTENDU</w:t>
      </w:r>
      <w:r>
        <w:rPr>
          <w:spacing w:val="-6"/>
        </w:rPr>
        <w:t> </w:t>
      </w:r>
      <w:r>
        <w:rPr>
          <w:spacing w:val="-5"/>
        </w:rPr>
        <w:t>QU'</w:t>
      </w:r>
      <w:r>
        <w:rPr/>
        <w:tab/>
        <w:t>un</w:t>
      </w:r>
      <w:r>
        <w:rPr>
          <w:spacing w:val="-5"/>
        </w:rPr>
        <w:t> </w:t>
      </w:r>
      <w:r>
        <w:rPr/>
        <w:t>avis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motion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été</w:t>
      </w:r>
      <w:r>
        <w:rPr>
          <w:spacing w:val="-6"/>
        </w:rPr>
        <w:t> </w:t>
      </w:r>
      <w:r>
        <w:rPr/>
        <w:t>déposé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séance</w:t>
      </w:r>
      <w:r>
        <w:rPr>
          <w:spacing w:val="-3"/>
        </w:rPr>
        <w:t> </w:t>
      </w:r>
      <w:r>
        <w:rPr/>
        <w:t>du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février </w:t>
      </w:r>
      <w:r>
        <w:rPr>
          <w:spacing w:val="-2"/>
        </w:rPr>
        <w:t>2016;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spacing w:line="360" w:lineRule="auto"/>
        <w:ind w:left="136" w:right="295" w:hanging="1"/>
        <w:jc w:val="both"/>
      </w:pPr>
      <w:r>
        <w:rPr/>
        <w:t>SUR LA PROPOSITION</w:t>
      </w:r>
      <w:r>
        <w:rPr>
          <w:spacing w:val="-2"/>
        </w:rPr>
        <w:t> </w:t>
      </w:r>
      <w:r>
        <w:rPr/>
        <w:t>DE monsieur Jean-Rock</w:t>
      </w:r>
      <w:r>
        <w:rPr>
          <w:spacing w:val="-1"/>
        </w:rPr>
        <w:t> </w:t>
      </w:r>
      <w:r>
        <w:rPr/>
        <w:t>Veilleux, appuyé par monsieur Henri</w:t>
      </w:r>
      <w:r>
        <w:rPr>
          <w:spacing w:val="-2"/>
        </w:rPr>
        <w:t> </w:t>
      </w:r>
      <w:r>
        <w:rPr/>
        <w:t>Gagné, il</w:t>
      </w:r>
      <w:r>
        <w:rPr>
          <w:spacing w:val="-1"/>
        </w:rPr>
        <w:t> </w:t>
      </w:r>
      <w:r>
        <w:rPr/>
        <w:t>est</w:t>
      </w:r>
      <w:r>
        <w:rPr>
          <w:spacing w:val="-2"/>
        </w:rPr>
        <w:t> </w:t>
      </w:r>
      <w:r>
        <w:rPr/>
        <w:t>résolu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l’unanimité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membres</w:t>
      </w:r>
      <w:r>
        <w:rPr>
          <w:spacing w:val="-2"/>
        </w:rPr>
        <w:t> </w:t>
      </w:r>
      <w:r>
        <w:rPr/>
        <w:t>votants</w:t>
      </w:r>
      <w:r>
        <w:rPr>
          <w:spacing w:val="-5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règlement</w:t>
      </w:r>
      <w:r>
        <w:rPr>
          <w:spacing w:val="-1"/>
        </w:rPr>
        <w:t> </w:t>
      </w:r>
      <w:r>
        <w:rPr/>
        <w:t>185-16</w:t>
      </w:r>
      <w:r>
        <w:rPr>
          <w:spacing w:val="-3"/>
        </w:rPr>
        <w:t> </w:t>
      </w:r>
      <w:r>
        <w:rPr/>
        <w:t>soit adopté</w:t>
      </w:r>
      <w:r>
        <w:rPr>
          <w:spacing w:val="-3"/>
        </w:rPr>
        <w:t> </w:t>
      </w:r>
      <w:r>
        <w:rPr/>
        <w:t>et</w:t>
      </w:r>
      <w:r>
        <w:rPr>
          <w:spacing w:val="-4"/>
        </w:rPr>
        <w:t> </w:t>
      </w:r>
      <w:r>
        <w:rPr/>
        <w:t>qu’il</w:t>
      </w:r>
      <w:r>
        <w:rPr>
          <w:spacing w:val="-1"/>
        </w:rPr>
        <w:t> </w:t>
      </w:r>
      <w:r>
        <w:rPr/>
        <w:t>soit décrété et statué par ledit règlement ce qui suit :</w: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footerReference w:type="default" r:id="rId5"/>
          <w:type w:val="continuous"/>
          <w:pgSz w:w="12250" w:h="20170"/>
          <w:pgMar w:header="0" w:footer="846" w:top="2260" w:bottom="1040" w:left="1275" w:right="1275"/>
          <w:pgNumType w:start="1"/>
        </w:sectPr>
      </w:pPr>
    </w:p>
    <w:p>
      <w:pPr>
        <w:pStyle w:val="Heading1"/>
      </w:pPr>
      <w:r>
        <w:rPr/>
        <w:t>Article</w:t>
      </w:r>
      <w:r>
        <w:rPr>
          <w:spacing w:val="-5"/>
        </w:rPr>
        <w:t> 1.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136" w:right="0" w:firstLine="0"/>
        <w:jc w:val="left"/>
        <w:rPr>
          <w:b/>
          <w:sz w:val="22"/>
        </w:rPr>
      </w:pPr>
      <w:r>
        <w:rPr>
          <w:b/>
          <w:sz w:val="22"/>
        </w:rPr>
        <w:t>Article</w:t>
      </w:r>
      <w:r>
        <w:rPr>
          <w:b/>
          <w:spacing w:val="-5"/>
          <w:sz w:val="22"/>
        </w:rPr>
        <w:t> 2.</w:t>
      </w:r>
    </w:p>
    <w:p>
      <w:pPr>
        <w:pStyle w:val="BodyText"/>
        <w:spacing w:before="94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1"/>
        <w:ind w:left="136" w:right="131"/>
        <w:jc w:val="both"/>
      </w:pPr>
      <w:r>
        <w:rPr/>
        <w:t>La municipalité régionale de comté Robert-Cliche est autorisée à dépenser un montant ne dépassant pas 1 200</w:t>
      </w:r>
      <w:r>
        <w:rPr>
          <w:spacing w:val="-3"/>
        </w:rPr>
        <w:t> </w:t>
      </w:r>
      <w:r>
        <w:rPr/>
        <w:t>000 $ pour les frais de plans et devis, de construction et de surveillance de chantier de la piste cyclable entre ses limites Nord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Sud</w:t>
      </w:r>
      <w:r>
        <w:rPr>
          <w:spacing w:val="-3"/>
        </w:rPr>
        <w:t> </w:t>
      </w:r>
      <w:r>
        <w:rPr/>
        <w:t>sur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/>
        <w:t>territoire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Saint-Joseph-de-Beauce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Beauceville</w:t>
      </w:r>
      <w:r>
        <w:rPr>
          <w:spacing w:val="-3"/>
        </w:rPr>
        <w:t> </w:t>
      </w:r>
      <w:r>
        <w:rPr/>
        <w:t>et</w:t>
      </w:r>
      <w:r>
        <w:rPr>
          <w:spacing w:val="-1"/>
        </w:rPr>
        <w:t> </w:t>
      </w:r>
      <w:r>
        <w:rPr/>
        <w:t>selon les estimés du service d’ingénierie de la MRC Beauce-Sartigan comme suit :</w:t>
      </w:r>
    </w:p>
    <w:p>
      <w:pPr>
        <w:pStyle w:val="BodyText"/>
        <w:spacing w:before="31"/>
        <w:rPr>
          <w:sz w:val="20"/>
        </w:rPr>
      </w:pPr>
    </w:p>
    <w:tbl>
      <w:tblPr>
        <w:tblW w:w="0" w:type="auto"/>
        <w:jc w:val="left"/>
        <w:tblInd w:w="1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1396"/>
      </w:tblGrid>
      <w:tr>
        <w:trPr>
          <w:trHeight w:val="249" w:hRule="atLeast"/>
        </w:trPr>
        <w:tc>
          <w:tcPr>
            <w:tcW w:w="2837" w:type="dxa"/>
          </w:tcPr>
          <w:p>
            <w:pPr>
              <w:pStyle w:val="TableParagraph"/>
              <w:spacing w:line="229" w:lineRule="exact"/>
              <w:ind w:left="5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devis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1396" w:type="dxa"/>
          </w:tcPr>
          <w:p>
            <w:pPr>
              <w:pStyle w:val="TableParagraph"/>
              <w:spacing w:line="229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264 </w:t>
            </w:r>
            <w:r>
              <w:rPr>
                <w:spacing w:val="-10"/>
                <w:sz w:val="22"/>
              </w:rPr>
              <w:t>$</w:t>
            </w:r>
          </w:p>
        </w:tc>
      </w:tr>
      <w:tr>
        <w:trPr>
          <w:trHeight w:val="252" w:hRule="atLeast"/>
        </w:trPr>
        <w:tc>
          <w:tcPr>
            <w:tcW w:w="2837" w:type="dxa"/>
          </w:tcPr>
          <w:p>
            <w:pPr>
              <w:pStyle w:val="TableParagraph"/>
              <w:spacing w:line="232" w:lineRule="exact"/>
              <w:ind w:left="5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Travaux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construction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1396" w:type="dxa"/>
          </w:tcPr>
          <w:p>
            <w:pPr>
              <w:pStyle w:val="TableParagraph"/>
              <w:spacing w:line="232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013 118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$</w:t>
            </w:r>
          </w:p>
        </w:tc>
      </w:tr>
      <w:tr>
        <w:trPr>
          <w:trHeight w:val="253" w:hRule="atLeast"/>
        </w:trPr>
        <w:tc>
          <w:tcPr>
            <w:tcW w:w="2837" w:type="dxa"/>
          </w:tcPr>
          <w:p>
            <w:pPr>
              <w:pStyle w:val="TableParagraph"/>
              <w:spacing w:line="233" w:lineRule="exact"/>
              <w:ind w:left="5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Surveillance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chantier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1396" w:type="dxa"/>
          </w:tcPr>
          <w:p>
            <w:pPr>
              <w:pStyle w:val="TableParagraph"/>
              <w:spacing w:line="233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217 </w:t>
            </w:r>
            <w:r>
              <w:rPr>
                <w:spacing w:val="-10"/>
                <w:sz w:val="22"/>
              </w:rPr>
              <w:t>$</w:t>
            </w:r>
          </w:p>
        </w:tc>
      </w:tr>
      <w:tr>
        <w:trPr>
          <w:trHeight w:val="250" w:hRule="atLeast"/>
        </w:trPr>
        <w:tc>
          <w:tcPr>
            <w:tcW w:w="2837" w:type="dxa"/>
          </w:tcPr>
          <w:p>
            <w:pPr>
              <w:pStyle w:val="TableParagraph"/>
              <w:spacing w:line="231" w:lineRule="exact"/>
              <w:ind w:left="5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Contingences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1396" w:type="dxa"/>
          </w:tcPr>
          <w:p>
            <w:pPr>
              <w:pStyle w:val="TableParagraph"/>
              <w:spacing w:line="231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$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ind w:left="136" w:right="131"/>
        <w:jc w:val="both"/>
      </w:pPr>
      <w:r>
        <w:rPr/>
        <w:t>La MRC Robert-Cliche est autorisée à dépenser aux fins du présent règlement une somme n’excédant pas 1 200 000 $ et, pour se la procurer, à en faire un emprunt pour une période de 10 ans.</w:t>
      </w:r>
    </w:p>
    <w:p>
      <w:pPr>
        <w:pStyle w:val="BodyText"/>
        <w:spacing w:after="0"/>
        <w:jc w:val="both"/>
        <w:sectPr>
          <w:type w:val="continuous"/>
          <w:pgSz w:w="12250" w:h="20170"/>
          <w:pgMar w:header="0" w:footer="846" w:top="2260" w:bottom="1040" w:left="1275" w:right="1275"/>
          <w:cols w:num="2" w:equalWidth="0">
            <w:col w:w="1107" w:space="311"/>
            <w:col w:w="8282"/>
          </w:cols>
        </w:sectPr>
      </w:pPr>
    </w:p>
    <w:p>
      <w:pPr>
        <w:pStyle w:val="Heading1"/>
        <w:spacing w:before="81"/>
      </w:pPr>
      <w:r>
        <w:rPr/>
        <w:t>Article</w:t>
      </w:r>
      <w:r>
        <w:rPr>
          <w:spacing w:val="-5"/>
        </w:rPr>
        <w:t> 3.</w:t>
      </w:r>
    </w:p>
    <w:p>
      <w:pPr>
        <w:pStyle w:val="BodyText"/>
        <w:spacing w:before="84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ind w:left="136" w:right="132"/>
        <w:jc w:val="both"/>
      </w:pPr>
      <w:r>
        <w:rPr/>
        <w:t>Les dépenses relatives au remboursement des échéanciers en capital et intérêts de l’emprunt décrété par le présent règlement sont réparties entre les municipalités de Saint-Joseph-de-Beauce et de Beauceville tel que défini par le règlement 149-12 de la MRC.</w:t>
      </w:r>
    </w:p>
    <w:p>
      <w:pPr>
        <w:pStyle w:val="BodyText"/>
        <w:spacing w:after="0"/>
        <w:jc w:val="both"/>
        <w:sectPr>
          <w:pgSz w:w="12250" w:h="20170"/>
          <w:pgMar w:header="0" w:footer="846" w:top="2180" w:bottom="1040" w:left="1275" w:right="1275"/>
          <w:cols w:num="2" w:equalWidth="0">
            <w:col w:w="1107" w:space="311"/>
            <w:col w:w="8282"/>
          </w:cols>
        </w:sectPr>
      </w:pPr>
    </w:p>
    <w:p>
      <w:pPr>
        <w:pStyle w:val="BodyText"/>
        <w:spacing w:before="17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50" w:h="20170"/>
          <w:pgMar w:header="0" w:footer="846" w:top="2260" w:bottom="1040" w:left="1275" w:right="1275"/>
        </w:sectPr>
      </w:pPr>
    </w:p>
    <w:p>
      <w:pPr>
        <w:pStyle w:val="Heading1"/>
      </w:pPr>
      <w:r>
        <w:rPr/>
        <w:t>Article</w:t>
      </w:r>
      <w:r>
        <w:rPr>
          <w:spacing w:val="-5"/>
        </w:rPr>
        <w:t> 4.</w:t>
      </w:r>
    </w:p>
    <w:p>
      <w:pPr>
        <w:pStyle w:val="BodyText"/>
        <w:spacing w:before="97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ind w:left="136" w:right="133"/>
        <w:jc w:val="both"/>
      </w:pPr>
      <w:r>
        <w:rPr/>
        <w:t>Une partie de l’emprunt représentant une somme non supérieure à 5 % du montant total de la dépense prévue au présent règlement est destinée à renflouer le fonds général de la MRC Robert-Cliche pour les sommes engagées avant l’entrée en vigueur du règlement, relativement à l’objet de celui-ci.</w:t>
      </w:r>
    </w:p>
    <w:p>
      <w:pPr>
        <w:pStyle w:val="BodyText"/>
        <w:spacing w:after="0"/>
        <w:jc w:val="both"/>
        <w:sectPr>
          <w:type w:val="continuous"/>
          <w:pgSz w:w="12250" w:h="20170"/>
          <w:pgMar w:header="0" w:footer="846" w:top="2260" w:bottom="1040" w:left="1275" w:right="1275"/>
          <w:cols w:num="2" w:equalWidth="0">
            <w:col w:w="1107" w:space="311"/>
            <w:col w:w="8282"/>
          </w:cols>
        </w:sectPr>
      </w:pPr>
    </w:p>
    <w:p>
      <w:pPr>
        <w:pStyle w:val="BodyText"/>
        <w:spacing w:before="17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50" w:h="20170"/>
          <w:pgMar w:header="0" w:footer="846" w:top="2260" w:bottom="1040" w:left="1275" w:right="1275"/>
        </w:sectPr>
      </w:pPr>
    </w:p>
    <w:p>
      <w:pPr>
        <w:pStyle w:val="Heading1"/>
      </w:pPr>
      <w:r>
        <w:rPr/>
        <w:t>Article</w:t>
      </w:r>
      <w:r>
        <w:rPr>
          <w:spacing w:val="-5"/>
        </w:rPr>
        <w:t> </w:t>
      </w:r>
      <w:r>
        <w:rPr>
          <w:spacing w:val="-10"/>
        </w:rPr>
        <w:t>5</w:t>
      </w:r>
    </w:p>
    <w:p>
      <w:pPr>
        <w:pStyle w:val="BodyText"/>
        <w:spacing w:before="97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ind w:left="136"/>
      </w:pPr>
      <w:r>
        <w:rPr/>
        <w:t>Toute</w:t>
      </w:r>
      <w:r>
        <w:rPr>
          <w:spacing w:val="77"/>
        </w:rPr>
        <w:t> </w:t>
      </w:r>
      <w:r>
        <w:rPr/>
        <w:t>somme</w:t>
      </w:r>
      <w:r>
        <w:rPr>
          <w:spacing w:val="75"/>
        </w:rPr>
        <w:t> </w:t>
      </w:r>
      <w:r>
        <w:rPr/>
        <w:t>reçue,</w:t>
      </w:r>
      <w:r>
        <w:rPr>
          <w:spacing w:val="79"/>
        </w:rPr>
        <w:t> </w:t>
      </w:r>
      <w:r>
        <w:rPr/>
        <w:t>soit</w:t>
      </w:r>
      <w:r>
        <w:rPr>
          <w:spacing w:val="79"/>
        </w:rPr>
        <w:t> </w:t>
      </w:r>
      <w:r>
        <w:rPr/>
        <w:t>par</w:t>
      </w:r>
      <w:r>
        <w:rPr>
          <w:spacing w:val="79"/>
        </w:rPr>
        <w:t> </w:t>
      </w:r>
      <w:r>
        <w:rPr/>
        <w:t>le</w:t>
      </w:r>
      <w:r>
        <w:rPr>
          <w:spacing w:val="77"/>
        </w:rPr>
        <w:t> </w:t>
      </w:r>
      <w:r>
        <w:rPr/>
        <w:t>biais</w:t>
      </w:r>
      <w:r>
        <w:rPr>
          <w:spacing w:val="78"/>
        </w:rPr>
        <w:t> </w:t>
      </w:r>
      <w:r>
        <w:rPr/>
        <w:t>de</w:t>
      </w:r>
      <w:r>
        <w:rPr>
          <w:spacing w:val="77"/>
        </w:rPr>
        <w:t> </w:t>
      </w:r>
      <w:r>
        <w:rPr/>
        <w:t>subvention</w:t>
      </w:r>
      <w:r>
        <w:rPr>
          <w:spacing w:val="77"/>
        </w:rPr>
        <w:t> </w:t>
      </w:r>
      <w:r>
        <w:rPr/>
        <w:t>ou</w:t>
      </w:r>
      <w:r>
        <w:rPr>
          <w:spacing w:val="77"/>
        </w:rPr>
        <w:t> </w:t>
      </w:r>
      <w:r>
        <w:rPr/>
        <w:t>programme</w:t>
      </w:r>
      <w:r>
        <w:rPr>
          <w:spacing w:val="77"/>
        </w:rPr>
        <w:t> </w:t>
      </w:r>
      <w:r>
        <w:rPr/>
        <w:t>d’aide financière ou autre, sera affectée à la diminution de cette dette.</w:t>
      </w:r>
    </w:p>
    <w:p>
      <w:pPr>
        <w:pStyle w:val="BodyText"/>
        <w:spacing w:after="0"/>
        <w:sectPr>
          <w:type w:val="continuous"/>
          <w:pgSz w:w="12250" w:h="20170"/>
          <w:pgMar w:header="0" w:footer="846" w:top="2260" w:bottom="1040" w:left="1275" w:right="1275"/>
          <w:cols w:num="2" w:equalWidth="0">
            <w:col w:w="1046" w:space="372"/>
            <w:col w:w="8282"/>
          </w:cols>
        </w:sect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2250" w:h="20170"/>
          <w:pgMar w:header="0" w:footer="846" w:top="2260" w:bottom="1040" w:left="1275" w:right="1275"/>
        </w:sectPr>
      </w:pPr>
    </w:p>
    <w:p>
      <w:pPr>
        <w:pStyle w:val="Heading1"/>
        <w:spacing w:before="94"/>
      </w:pPr>
      <w:r>
        <w:rPr/>
        <w:t>Article</w:t>
      </w:r>
      <w:r>
        <w:rPr>
          <w:spacing w:val="-5"/>
        </w:rPr>
        <w:t> 6.</w:t>
      </w:r>
    </w:p>
    <w:p>
      <w:pPr>
        <w:pStyle w:val="BodyText"/>
        <w:spacing w:before="95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ind w:left="136" w:right="132"/>
        <w:jc w:val="both"/>
      </w:pPr>
      <w:r>
        <w:rPr/>
        <w:t>Le présent règlement entrera en vigueur dès qu’il aura été approuvé par le ministre des Affaires municipales et de l’Occupation du territoire du Québec et le jour de sa publication, conformément à la Loi.</w:t>
      </w:r>
    </w:p>
    <w:p>
      <w:pPr>
        <w:pStyle w:val="BodyText"/>
        <w:spacing w:after="0"/>
        <w:jc w:val="both"/>
        <w:sectPr>
          <w:type w:val="continuous"/>
          <w:pgSz w:w="12250" w:h="20170"/>
          <w:pgMar w:header="0" w:footer="846" w:top="2260" w:bottom="1040" w:left="1275" w:right="1275"/>
          <w:cols w:num="2" w:equalWidth="0">
            <w:col w:w="1107" w:space="311"/>
            <w:col w:w="8282"/>
          </w:cols>
        </w:sectPr>
      </w:pPr>
    </w:p>
    <w:p>
      <w:pPr>
        <w:pStyle w:val="Heading1"/>
        <w:spacing w:before="251"/>
      </w:pPr>
      <w:r>
        <w:rPr/>
        <w:t>Article</w:t>
      </w:r>
      <w:r>
        <w:rPr>
          <w:spacing w:val="-5"/>
        </w:rPr>
        <w:t> 7.</w:t>
      </w:r>
    </w:p>
    <w:p>
      <w:pPr>
        <w:pStyle w:val="BodyText"/>
        <w:spacing w:before="2"/>
        <w:ind w:left="1554"/>
      </w:pPr>
      <w:r>
        <w:rPr/>
        <w:t>Le</w:t>
      </w:r>
      <w:r>
        <w:rPr>
          <w:spacing w:val="-7"/>
        </w:rPr>
        <w:t> </w:t>
      </w:r>
      <w:r>
        <w:rPr/>
        <w:t>préfet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secrétaire-trésorier</w:t>
      </w:r>
      <w:r>
        <w:rPr>
          <w:spacing w:val="-3"/>
        </w:rPr>
        <w:t> </w:t>
      </w:r>
      <w:r>
        <w:rPr/>
        <w:t>sont</w:t>
      </w:r>
      <w:r>
        <w:rPr>
          <w:spacing w:val="-5"/>
        </w:rPr>
        <w:t> </w:t>
      </w:r>
      <w:r>
        <w:rPr/>
        <w:t>autorisés</w:t>
      </w:r>
      <w:r>
        <w:rPr>
          <w:spacing w:val="-4"/>
        </w:rPr>
        <w:t> </w:t>
      </w:r>
      <w:r>
        <w:rPr/>
        <w:t>à</w:t>
      </w:r>
      <w:r>
        <w:rPr>
          <w:spacing w:val="-7"/>
        </w:rPr>
        <w:t> </w:t>
      </w:r>
      <w:r>
        <w:rPr/>
        <w:t>signer</w:t>
      </w:r>
      <w:r>
        <w:rPr>
          <w:spacing w:val="-3"/>
        </w:rPr>
        <w:t> </w:t>
      </w:r>
      <w:r>
        <w:rPr/>
        <w:t>l’original</w:t>
      </w:r>
      <w:r>
        <w:rPr>
          <w:spacing w:val="-5"/>
        </w:rPr>
        <w:t> </w:t>
      </w:r>
      <w:r>
        <w:rPr/>
        <w:t>du</w:t>
      </w:r>
      <w:r>
        <w:rPr>
          <w:spacing w:val="-6"/>
        </w:rPr>
        <w:t> </w:t>
      </w:r>
      <w:r>
        <w:rPr>
          <w:spacing w:val="-2"/>
        </w:rPr>
        <w:t>règlement.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36"/>
      </w:pPr>
      <w:r>
        <w:rPr/>
        <w:t>Adopté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Beauceville,</w:t>
      </w:r>
      <w:r>
        <w:rPr>
          <w:spacing w:val="-2"/>
        </w:rPr>
        <w:t> </w:t>
      </w:r>
      <w:r>
        <w:rPr/>
        <w:t>ce</w:t>
      </w:r>
      <w:r>
        <w:rPr>
          <w:spacing w:val="-3"/>
        </w:rPr>
        <w:t> </w:t>
      </w:r>
      <w:r>
        <w:rPr/>
        <w:t>9</w:t>
      </w:r>
      <w:r>
        <w:rPr>
          <w:spacing w:val="-5"/>
        </w:rPr>
        <w:t> </w:t>
      </w:r>
      <w:r>
        <w:rPr/>
        <w:t>mars</w:t>
      </w:r>
      <w:r>
        <w:rPr>
          <w:spacing w:val="-5"/>
        </w:rPr>
        <w:t> </w:t>
      </w:r>
      <w:r>
        <w:rPr>
          <w:spacing w:val="-2"/>
        </w:rPr>
        <w:t>2016.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6"/>
        <w:rPr>
          <w:sz w:val="20"/>
        </w:rPr>
      </w:pPr>
    </w:p>
    <w:tbl>
      <w:tblPr>
        <w:tblW w:w="0" w:type="auto"/>
        <w:jc w:val="left"/>
        <w:tblInd w:w="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8"/>
        <w:gridCol w:w="1190"/>
        <w:gridCol w:w="3708"/>
      </w:tblGrid>
      <w:tr>
        <w:trPr>
          <w:trHeight w:val="230" w:hRule="atLeast"/>
        </w:trPr>
        <w:tc>
          <w:tcPr>
            <w:tcW w:w="346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75" w:hRule="atLeast"/>
        </w:trPr>
        <w:tc>
          <w:tcPr>
            <w:tcW w:w="34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0" w:lineRule="atLeast"/>
              <w:ind w:left="1430" w:right="1061" w:hanging="370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Luc</w:t>
            </w:r>
            <w:r>
              <w:rPr>
                <w:spacing w:val="-10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Provençal </w:t>
            </w:r>
            <w:r>
              <w:rPr>
                <w:spacing w:val="-2"/>
                <w:sz w:val="24"/>
              </w:rPr>
              <w:t>Préfet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0" w:lineRule="atLeast"/>
              <w:ind w:left="897" w:right="897" w:firstLine="302"/>
              <w:rPr>
                <w:sz w:val="24"/>
              </w:rPr>
            </w:pPr>
            <w:r>
              <w:rPr>
                <w:sz w:val="24"/>
              </w:rPr>
              <w:t>Gilbert Caron </w:t>
            </w:r>
            <w:r>
              <w:rPr>
                <w:spacing w:val="-2"/>
                <w:w w:val="90"/>
                <w:sz w:val="24"/>
              </w:rPr>
              <w:t>Secrétaire-trésorier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60" w:lineRule="auto"/>
        <w:ind w:left="135" w:right="5931"/>
      </w:pPr>
      <w:r>
        <w:rPr/>
        <w:t>Avis de motion : 10 février 2016 Adoption</w:t>
      </w:r>
      <w:r>
        <w:rPr>
          <w:spacing w:val="-4"/>
        </w:rPr>
        <w:t> </w:t>
      </w:r>
      <w:r>
        <w:rPr/>
        <w:t>du</w:t>
      </w:r>
      <w:r>
        <w:rPr>
          <w:spacing w:val="-6"/>
        </w:rPr>
        <w:t> </w:t>
      </w:r>
      <w:r>
        <w:rPr/>
        <w:t>règlement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9</w:t>
      </w:r>
      <w:r>
        <w:rPr>
          <w:spacing w:val="-4"/>
        </w:rPr>
        <w:t> </w:t>
      </w:r>
      <w:r>
        <w:rPr/>
        <w:t>mars</w:t>
      </w:r>
      <w:r>
        <w:rPr>
          <w:spacing w:val="-3"/>
        </w:rPr>
        <w:t> </w:t>
      </w:r>
      <w:r>
        <w:rPr/>
        <w:t>2016 Avis du ministre règlement : Assemblée de consultation : Adoption du règlement :</w:t>
      </w:r>
    </w:p>
    <w:p>
      <w:pPr>
        <w:pStyle w:val="BodyText"/>
        <w:spacing w:line="360" w:lineRule="auto"/>
        <w:ind w:left="137" w:right="7260" w:hanging="1"/>
      </w:pPr>
      <w:r>
        <w:rPr/>
        <w:t>Avis du ministre : Entrée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vigueur</w:t>
      </w:r>
      <w:r>
        <w:rPr>
          <w:spacing w:val="-9"/>
        </w:rPr>
        <w:t> </w:t>
      </w:r>
      <w:r>
        <w:rPr/>
        <w:t>:</w:t>
      </w:r>
    </w:p>
    <w:sectPr>
      <w:type w:val="continuous"/>
      <w:pgSz w:w="12250" w:h="20170"/>
      <w:pgMar w:header="0" w:footer="846" w:top="2260" w:bottom="104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877824</wp:posOffset>
              </wp:positionH>
              <wp:positionV relativeFrom="page">
                <wp:posOffset>12088367</wp:posOffset>
              </wp:positionV>
              <wp:extent cx="601853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0185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18530" h="6350">
                            <a:moveTo>
                              <a:pt x="601827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018276" y="6095"/>
                            </a:lnTo>
                            <a:lnTo>
                              <a:pt x="60182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9.120003pt;margin-top:951.839966pt;width:473.88pt;height:.48pt;mso-position-horizontal-relative:page;mso-position-vertical-relative:page;z-index:-1583411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6761988</wp:posOffset>
              </wp:positionH>
              <wp:positionV relativeFrom="page">
                <wp:posOffset>12078281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2.440002pt;margin-top:951.045776pt;width:13.15pt;height:14.35pt;mso-position-horizontal-relative:page;mso-position-vertical-relative:page;z-index:-1583360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883411</wp:posOffset>
              </wp:positionH>
              <wp:positionV relativeFrom="page">
                <wp:posOffset>12097163</wp:posOffset>
              </wp:positionV>
              <wp:extent cx="108013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801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mallCaps/>
                              <w:spacing w:val="-2"/>
                              <w:sz w:val="18"/>
                            </w:rPr>
                            <w:t>MRC</w:t>
                          </w:r>
                          <w:r>
                            <w:rPr>
                              <w:smallCaps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mallCaps/>
                              <w:spacing w:val="-2"/>
                              <w:sz w:val="18"/>
                            </w:rPr>
                            <w:t>Robert-Cliche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559998pt;margin-top:952.532532pt;width:85.05pt;height:12.1pt;mso-position-horizontal-relative:page;mso-position-vertical-relative:page;z-index:-1583308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mallCaps/>
                        <w:spacing w:val="-2"/>
                        <w:sz w:val="18"/>
                      </w:rPr>
                      <w:t>MRC</w:t>
                    </w:r>
                    <w:r>
                      <w:rPr>
                        <w:smallCaps/>
                        <w:spacing w:val="-5"/>
                        <w:sz w:val="18"/>
                      </w:rPr>
                      <w:t> </w:t>
                    </w:r>
                    <w:r>
                      <w:rPr>
                        <w:smallCaps/>
                        <w:spacing w:val="-2"/>
                        <w:sz w:val="18"/>
                      </w:rPr>
                      <w:t>Robert-Cliche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3116072</wp:posOffset>
              </wp:positionH>
              <wp:positionV relativeFrom="page">
                <wp:posOffset>12097163</wp:posOffset>
              </wp:positionV>
              <wp:extent cx="1048385" cy="1536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483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RÈGLEMENT</w:t>
                          </w:r>
                          <w:r>
                            <w:rPr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#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185-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5.360001pt;margin-top:952.532532pt;width:82.55pt;height:12.1pt;mso-position-horizontal-relative:page;mso-position-vertical-relative:page;z-index:-1583257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4"/>
                      </w:rPr>
                      <w:t>RÈGLEMENT</w:t>
                    </w:r>
                    <w:r>
                      <w:rPr>
                        <w:spacing w:val="5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#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185-</w:t>
                    </w:r>
                    <w:r>
                      <w:rPr>
                        <w:spacing w:val="-5"/>
                        <w:sz w:val="18"/>
                      </w:rPr>
                      <w:t>16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136"/>
      <w:outlineLvl w:val="1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AA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Aopen</dc:creator>
  <dc:title>RÈGLEMENT 98-04, INTITULÉ « RÈGLEMENT DE CONTRÔLE INTÉRIMAIRE RELATIF À LA PROTECTION DES RIVES, DU LITTORAL ET DES PLAINES IN</dc:title>
  <dcterms:created xsi:type="dcterms:W3CDTF">2025-12-04T14:28:05Z</dcterms:created>
  <dcterms:modified xsi:type="dcterms:W3CDTF">2025-12-04T14:28:05Z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Creator">
    <vt:lpwstr>Acrobat PDFMaker 11 pour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D:20160316185848</vt:lpwstr>
  </property>
</Properties>
</file>